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9B" w:rsidRPr="00E9782B" w:rsidRDefault="00E9782B">
      <w:pPr>
        <w:rPr>
          <w:rFonts w:ascii="Verdana" w:hAnsi="Verdana" w:cs="Arial"/>
          <w:b/>
          <w:bCs/>
          <w:color w:val="000000" w:themeColor="text1"/>
          <w:sz w:val="18"/>
          <w:szCs w:val="18"/>
        </w:rPr>
      </w:pPr>
      <w:r w:rsidRPr="00E9782B">
        <w:rPr>
          <w:rFonts w:ascii="Verdana" w:hAnsi="Verdana" w:cs="Arial"/>
          <w:b/>
          <w:bCs/>
          <w:color w:val="000000" w:themeColor="text1"/>
          <w:sz w:val="18"/>
          <w:szCs w:val="18"/>
        </w:rPr>
        <w:t>Романтическая дорога Германии.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5"/>
        <w:gridCol w:w="283"/>
        <w:gridCol w:w="8217"/>
      </w:tblGrid>
      <w:tr w:rsidR="00E9782B" w:rsidRP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1 день </w:t>
            </w:r>
          </w:p>
        </w:tc>
        <w:tc>
          <w:tcPr>
            <w:tcW w:w="150" w:type="pct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Мюнхен</w:t>
            </w:r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. Прибытие в аэропорт Мюнхена. </w:t>
            </w:r>
            <w:proofErr w:type="spellStart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и размещение в отеле 3* в центре города. Свободное время.</w:t>
            </w:r>
          </w:p>
        </w:tc>
      </w:tr>
      <w:tr w:rsidR="00E9782B" w:rsidRP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2 день </w:t>
            </w:r>
          </w:p>
        </w:tc>
        <w:tc>
          <w:tcPr>
            <w:tcW w:w="0" w:type="auto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Мюнхен. 9:00</w:t>
            </w:r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Встреча с гидом в отеле,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обзорная автобусно-пешеходная экскурсия по Мюнхену </w:t>
            </w:r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с осмотром </w:t>
            </w:r>
            <w:proofErr w:type="spellStart"/>
            <w:proofErr w:type="gramStart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красивей-ших</w:t>
            </w:r>
            <w:proofErr w:type="spellEnd"/>
            <w:proofErr w:type="gramEnd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площадей города: </w:t>
            </w:r>
            <w:proofErr w:type="spellStart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Мариенплац</w:t>
            </w:r>
            <w:proofErr w:type="spellEnd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Кёнигсплац</w:t>
            </w:r>
            <w:proofErr w:type="spellEnd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Одеонсплац</w:t>
            </w:r>
            <w:proofErr w:type="spellEnd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>, Новой и Старой Ратуши, зимней Резиденции баварских королей и летней резиденции -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Нимфенбург</w:t>
            </w:r>
            <w:proofErr w:type="spellEnd"/>
            <w:r w:rsidRPr="00E9782B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  <w:t xml:space="preserve"> (продолжительность 3 ч.). Свободное время.</w:t>
            </w:r>
          </w:p>
        </w:tc>
      </w:tr>
      <w:tr w:rsidR="00E9782B" w:rsidRPr="00E9782B" w:rsidT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0" w:type="auto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Баварские Альпы.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08:30 Встреча с гидом в отеле, выезд из отеля, начало путешествия по Романтической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>дороге Германии. Экскурсия по живописным районам Южной Баварии с осмотром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знаменитых замков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Нойшванштайн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Хоэншвангау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Переезд в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Фюссен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осмотр одного из старинных баварских городов с прекрасно сохранившимся центром. Размещение в отеле в курортной зоне города. Для желающих ужин в старинном рыцарском ресторане, насчитывающем историю более 500 лет (за дополнительную плату).</w:t>
            </w:r>
          </w:p>
        </w:tc>
      </w:tr>
      <w:tr w:rsidR="00E9782B" w:rsidRPr="00E9782B" w:rsidT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0" w:type="auto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Вискирхе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Шонгау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Ландсберг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ам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Лех, Аугсбург.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10:00 Продолжение путешествия по Романтической Дороге. Посещение известной паломнической церкви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Вискирхе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входящей в список мирового культурного наследия ЮНЕСКО.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Переезд в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Шонгау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- город, являвшийся долгое время резиденцией династии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Виттельсбахов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в Альпах. Знакомство с городом.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Следующая остановка по маршруту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Ландсберг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ам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Лех. Город был основан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ге</w:t>
            </w:r>
            <w:proofErr w:type="gram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-</w:t>
            </w:r>
            <w:proofErr w:type="gram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цогом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Генрихом Львом, славится великолепной ратушей с прекрасным лепным фасадом.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>Переезд в Аугсбург, город с 2000 летней историей. Блестящая эпоха отражена в многочисленных дворцах и частных домах с фасадами эпох Возрождения и барокко. Свободное время в городе.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Во 2-ой половине дня переезд в город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Нёрдлинген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возникший на месте падения метеорита. Крупнейший в средние века центр ремесел и торговых ярмарок. Размещение в отеле в исторической части города.</w:t>
            </w:r>
          </w:p>
        </w:tc>
      </w:tr>
      <w:tr w:rsidR="00E9782B" w:rsidRPr="00E9782B" w:rsidT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5 день </w:t>
            </w:r>
          </w:p>
        </w:tc>
        <w:tc>
          <w:tcPr>
            <w:tcW w:w="0" w:type="auto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Нёрдлинген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Валлерштайн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Динкельсбюль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Ротенбург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об </w:t>
            </w:r>
            <w:proofErr w:type="spellStart"/>
            <w:proofErr w:type="gram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дер</w:t>
            </w:r>
            <w:proofErr w:type="spellEnd"/>
            <w:proofErr w:type="gram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Таубер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9:30 Обзорная экскурсия по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Нёрдлингу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с великолепно сохранившимся средневековым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обликом. Важнейшей достопримечательностью города являются как будто циркулем очерченные крепостные стены, ставшие образцом постройки для многих средневековых городов.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Переезд в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Валлерштайн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являющийся резиденцией </w:t>
            </w: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князей </w:t>
            </w:r>
            <w:proofErr w:type="spellStart"/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Оттинген-Валлерштайн</w:t>
            </w:r>
            <w:proofErr w:type="spellEnd"/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жи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ву</w:t>
            </w: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щих в настоящее время в замке.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Осмотр знаменитого чумного столба.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Продолжение путешествия проходит через вольный имперский город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Динкельсбюль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. Знакомство с городом, важнейшим символом которого является великолепный фахверковый «Немецкий дом» и многочисленные романтические дворики. Свободное время в городе.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Воплощением немецкой романтики является город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Ротенбург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об </w:t>
            </w:r>
            <w:proofErr w:type="spellStart"/>
            <w:proofErr w:type="gram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дер</w:t>
            </w:r>
            <w:proofErr w:type="spellEnd"/>
            <w:proofErr w:type="gram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Таубер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В городе находится всемирно известный Рождественский музей и крупнейший в Европе музей криминалистики. Уникальную ценность представляет алтарь в церкви святого Якова, одно из лучших произведений деревянной пластики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Тильмана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Римешнайдера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Размещение в отеле. Дегустация вин и ужин с блюдами традиционной кухни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Франконии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(за дополнительную плату).</w:t>
            </w:r>
          </w:p>
        </w:tc>
      </w:tr>
      <w:tr w:rsidR="00E9782B" w:rsidRPr="00E9782B" w:rsidT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6 день </w:t>
            </w:r>
          </w:p>
        </w:tc>
        <w:tc>
          <w:tcPr>
            <w:tcW w:w="0" w:type="auto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Бад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Мергентхайм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Вюрцбург.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10:00 Переезд в курортный город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Бад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Мергентхайм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Обзорная экскурсия в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Бад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Мергентхайме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. Город - бывшая резиденция Великого и Германского магистров Тевтонского ордена. Нарядные фахверковые дома, барочные дворцы и средневековая ратуша являются подлинным украшением этого города.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Переезд в Вюрцбург. Город – сокровищница мировых </w:t>
            </w: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архитектурных памятников культу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ры, внесённых в список мирового наследия ЮНЕСКО. Обзорная экскурсия по Вюрцбургу. Осмотр важнейших достопримечательностей города. К</w:t>
            </w: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репость </w:t>
            </w:r>
            <w:proofErr w:type="spellStart"/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Мариенберг</w:t>
            </w:r>
            <w:proofErr w:type="spellEnd"/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ансамбль ба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шен собора святого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Климана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, посещение княжеской </w:t>
            </w: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епископской резиденции со знаме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нитой фреской Тьеполо. Город живописно расположен на берегах реки Майн.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Переезд в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Бамберг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. Размещение в отеле.</w:t>
            </w:r>
          </w:p>
        </w:tc>
      </w:tr>
      <w:tr w:rsidR="00E9782B" w:rsidRPr="00E9782B" w:rsidT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lastRenderedPageBreak/>
              <w:t>7 день</w:t>
            </w:r>
          </w:p>
        </w:tc>
        <w:tc>
          <w:tcPr>
            <w:tcW w:w="0" w:type="auto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Бамберг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Нюрнберг.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9:00 обзорная экскурсия по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Бамбергу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. Один из старейших городов Германии, который не был разрушен во время второй мировой войны. Город многих известных людей, в котором долгое время прожил известный сказочник Эрнст Теодор Амадей Гофман.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Переезд в Нюрнберг. Обзорная экскурсия в Нюрнберге. Замок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Кайзербург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, роскошные готические церкви, украшенный готической пирамидой (19 м) Прекрасный фонтан на главной рыночной площади, Ремесленный двор «Нюрнберг» у башни у королевских ворот - вот главные достопримечательности города. А кроме этого ещё Германский Национальный музей – крупнейший музей немецкого искусства и культуры, дом-музей Альбрехта Дюрера, жемчужина немецкого Ренессанса фонтан добродетелей, музей железной дороги Германии, где демонстрируется первый поезд Германии, музей почты, музей игрушек.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 xml:space="preserve">Переезд в Мюнхен. 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br/>
              <w:t>Размещение в отеле в центре Мюнхена.</w:t>
            </w:r>
          </w:p>
        </w:tc>
      </w:tr>
      <w:tr w:rsidR="00E9782B" w:rsidRPr="00E9782B" w:rsidTr="00E9782B">
        <w:trPr>
          <w:tblCellSpacing w:w="0" w:type="dxa"/>
        </w:trPr>
        <w:tc>
          <w:tcPr>
            <w:tcW w:w="500" w:type="pct"/>
            <w:hideMark/>
          </w:tcPr>
          <w:p w:rsidR="00E9782B" w:rsidRPr="00E9782B" w:rsidRDefault="00E9782B" w:rsidP="00E9782B">
            <w:pPr>
              <w:spacing w:before="100" w:beforeAutospacing="1" w:after="100" w:afterAutospacing="1" w:line="240" w:lineRule="auto"/>
              <w:outlineLvl w:val="2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8 день</w:t>
            </w:r>
          </w:p>
        </w:tc>
        <w:tc>
          <w:tcPr>
            <w:tcW w:w="0" w:type="auto"/>
            <w:vAlign w:val="center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E9782B" w:rsidRPr="00E9782B" w:rsidRDefault="00E9782B" w:rsidP="00E9782B">
            <w:pPr>
              <w:spacing w:after="0" w:line="240" w:lineRule="auto"/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Мюнхен. </w:t>
            </w:r>
            <w:proofErr w:type="spellStart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Трансфер</w:t>
            </w:r>
            <w:proofErr w:type="spellEnd"/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 в </w:t>
            </w:r>
            <w:r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>аэропорт Мюнхена. Вылет в Санкт-Петербург</w:t>
            </w:r>
            <w:r w:rsidRPr="00E9782B">
              <w:rPr>
                <w:rFonts w:ascii="Verdana" w:eastAsia="Times New Roman" w:hAnsi="Verdana" w:cs="Arial"/>
                <w:bCs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</w:p>
        </w:tc>
      </w:tr>
    </w:tbl>
    <w:p w:rsidR="00E9782B" w:rsidRPr="00E9782B" w:rsidRDefault="00E9782B" w:rsidP="00E9782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Услуги, включенные в стоимость:</w:t>
      </w:r>
    </w:p>
    <w:p w:rsidR="00E9782B" w:rsidRPr="00E9782B" w:rsidRDefault="00E9782B" w:rsidP="00E9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Проживание в отеле 3* </w:t>
      </w:r>
    </w:p>
    <w:p w:rsidR="00E9782B" w:rsidRPr="00E9782B" w:rsidRDefault="00E9782B" w:rsidP="00E9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Питание – завтраки (шведский стол) </w:t>
      </w:r>
    </w:p>
    <w:p w:rsidR="00E9782B" w:rsidRPr="00E9782B" w:rsidRDefault="00E9782B" w:rsidP="00E9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Переезды по туру </w:t>
      </w:r>
    </w:p>
    <w:p w:rsidR="00E9782B" w:rsidRPr="00E9782B" w:rsidRDefault="00E9782B" w:rsidP="00E9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proofErr w:type="spellStart"/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Трансферы</w:t>
      </w:r>
      <w:proofErr w:type="spellEnd"/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аэропорт - отель - аэропорт </w:t>
      </w:r>
    </w:p>
    <w:p w:rsidR="00E9782B" w:rsidRPr="00E9782B" w:rsidRDefault="00E9782B" w:rsidP="00E978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Обзорные экскурсии по городам Романтической дороги. </w:t>
      </w:r>
    </w:p>
    <w:p w:rsidR="00E9782B" w:rsidRPr="00E9782B" w:rsidRDefault="00E9782B" w:rsidP="00E9782B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ru-RU"/>
        </w:rPr>
        <w:t>Дополнительно оплачивается:</w:t>
      </w:r>
    </w:p>
    <w:p w:rsidR="00E9782B" w:rsidRPr="00E9782B" w:rsidRDefault="00E9782B" w:rsidP="00E9782B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E9782B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- </w:t>
      </w:r>
      <w:proofErr w:type="spellStart"/>
      <w:r w:rsidRPr="00E9782B">
        <w:rPr>
          <w:rStyle w:val="reisesonst1"/>
          <w:rFonts w:cs="Arial"/>
          <w:iCs/>
          <w:color w:val="000000" w:themeColor="text1"/>
          <w:sz w:val="18"/>
          <w:szCs w:val="18"/>
        </w:rPr>
        <w:t>авиапереле</w:t>
      </w:r>
      <w:proofErr w:type="gramStart"/>
      <w:r w:rsidRPr="00E9782B">
        <w:rPr>
          <w:rStyle w:val="reisesonst1"/>
          <w:rFonts w:cs="Arial"/>
          <w:iCs/>
          <w:color w:val="000000" w:themeColor="text1"/>
          <w:sz w:val="18"/>
          <w:szCs w:val="18"/>
        </w:rPr>
        <w:t>т</w:t>
      </w:r>
      <w:proofErr w:type="spellEnd"/>
      <w:r w:rsidRPr="00E9782B">
        <w:rPr>
          <w:rStyle w:val="reisesonst1"/>
          <w:rFonts w:cs="Arial"/>
          <w:iCs/>
          <w:color w:val="000000" w:themeColor="text1"/>
          <w:sz w:val="18"/>
          <w:szCs w:val="18"/>
        </w:rPr>
        <w:t>-</w:t>
      </w:r>
      <w:proofErr w:type="gramEnd"/>
      <w:r w:rsidRPr="00E9782B">
        <w:rPr>
          <w:rStyle w:val="reisesonst1"/>
          <w:rFonts w:cs="Arial"/>
          <w:iCs/>
          <w:color w:val="000000" w:themeColor="text1"/>
          <w:sz w:val="18"/>
          <w:szCs w:val="18"/>
        </w:rPr>
        <w:t xml:space="preserve"> СПб- Мюнхен-СПб от 9000 рублей</w:t>
      </w:r>
    </w:p>
    <w:p w:rsidR="00E9782B" w:rsidRPr="00E9782B" w:rsidRDefault="00E9782B" w:rsidP="00E9782B">
      <w:pPr>
        <w:pStyle w:val="a4"/>
        <w:rPr>
          <w:rStyle w:val="reisesonst1"/>
          <w:rFonts w:cs="Arial"/>
          <w:bCs/>
          <w:iCs/>
          <w:color w:val="000000" w:themeColor="text1"/>
          <w:sz w:val="18"/>
          <w:szCs w:val="18"/>
        </w:rPr>
      </w:pPr>
      <w:r w:rsidRPr="00E9782B">
        <w:rPr>
          <w:rStyle w:val="reisesonst1"/>
          <w:rFonts w:cs="Arial"/>
          <w:iCs/>
          <w:color w:val="000000" w:themeColor="text1"/>
          <w:sz w:val="18"/>
          <w:szCs w:val="18"/>
        </w:rPr>
        <w:t>- консульский сбор 2600 рублей.</w:t>
      </w:r>
    </w:p>
    <w:p w:rsidR="00E9782B" w:rsidRPr="00E9782B" w:rsidRDefault="00E9782B" w:rsidP="00E9782B">
      <w:pPr>
        <w:pStyle w:val="a4"/>
        <w:rPr>
          <w:rFonts w:ascii="Verdana" w:hAnsi="Verdana"/>
          <w:iCs/>
          <w:color w:val="000000" w:themeColor="text1"/>
          <w:sz w:val="18"/>
          <w:szCs w:val="18"/>
        </w:rPr>
      </w:pPr>
      <w:r w:rsidRPr="00E9782B">
        <w:rPr>
          <w:rStyle w:val="reisesonst1"/>
          <w:rFonts w:cs="Arial"/>
          <w:iCs/>
          <w:color w:val="000000" w:themeColor="text1"/>
          <w:sz w:val="18"/>
          <w:szCs w:val="18"/>
        </w:rPr>
        <w:t>- мед. Страховой полис- 1 евро/день.</w:t>
      </w:r>
    </w:p>
    <w:p w:rsidR="00E9782B" w:rsidRPr="00E9782B" w:rsidRDefault="00E9782B" w:rsidP="00E9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Входные билеты в замки </w:t>
      </w:r>
      <w:proofErr w:type="spellStart"/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Нойшванштай</w:t>
      </w:r>
      <w:proofErr w:type="spellEnd"/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и</w:t>
      </w: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br/>
      </w:r>
      <w:proofErr w:type="spellStart"/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>Хоэншвангау</w:t>
      </w:r>
      <w:proofErr w:type="spellEnd"/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 – 15,00 евро, резервирование 1,80 евро </w:t>
      </w:r>
    </w:p>
    <w:p w:rsidR="00E9782B" w:rsidRPr="00E9782B" w:rsidRDefault="00E9782B" w:rsidP="00E9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Вход в музеи, церкви </w:t>
      </w:r>
    </w:p>
    <w:p w:rsidR="00E9782B" w:rsidRPr="00E9782B" w:rsidRDefault="00E9782B" w:rsidP="00E9782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</w:pPr>
      <w:r w:rsidRPr="00E9782B">
        <w:rPr>
          <w:rFonts w:ascii="Verdana" w:eastAsia="Times New Roman" w:hAnsi="Verdana" w:cs="Arial"/>
          <w:color w:val="000000" w:themeColor="text1"/>
          <w:sz w:val="18"/>
          <w:szCs w:val="18"/>
          <w:lang w:eastAsia="ru-RU"/>
        </w:rPr>
        <w:t xml:space="preserve">Дегустация вина, пива, обеды </w:t>
      </w:r>
    </w:p>
    <w:p w:rsidR="00E9782B" w:rsidRDefault="00E9782B"/>
    <w:sectPr w:rsidR="00E9782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24BA"/>
    <w:multiLevelType w:val="multilevel"/>
    <w:tmpl w:val="665C6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BF0EA4"/>
    <w:multiLevelType w:val="multilevel"/>
    <w:tmpl w:val="C486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82B"/>
    <w:rsid w:val="00287A9B"/>
    <w:rsid w:val="006A342E"/>
    <w:rsid w:val="008679D9"/>
    <w:rsid w:val="00B462C3"/>
    <w:rsid w:val="00E9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9B"/>
  </w:style>
  <w:style w:type="paragraph" w:styleId="3">
    <w:name w:val="heading 3"/>
    <w:basedOn w:val="a"/>
    <w:link w:val="30"/>
    <w:uiPriority w:val="9"/>
    <w:qFormat/>
    <w:rsid w:val="00E9782B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782B"/>
    <w:rPr>
      <w:rFonts w:ascii="Georgia" w:eastAsia="Times New Roman" w:hAnsi="Georgia" w:cs="Times New Roman"/>
      <w:b/>
      <w:bCs/>
      <w:color w:val="CC3300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9782B"/>
    <w:rPr>
      <w:b/>
      <w:bCs/>
    </w:rPr>
  </w:style>
  <w:style w:type="paragraph" w:styleId="a4">
    <w:name w:val="Normal (Web)"/>
    <w:basedOn w:val="a"/>
    <w:uiPriority w:val="99"/>
    <w:unhideWhenUsed/>
    <w:rsid w:val="00E9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isesonst1">
    <w:name w:val="reisesonst1"/>
    <w:basedOn w:val="a0"/>
    <w:rsid w:val="00E9782B"/>
    <w:rPr>
      <w:rFonts w:ascii="Verdana" w:hAnsi="Verdana" w:hint="default"/>
      <w:b w:val="0"/>
      <w:bCs w:val="0"/>
      <w:i w:val="0"/>
      <w:iCs w:val="0"/>
      <w:color w:val="666666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4366</Characters>
  <Application>Microsoft Office Word</Application>
  <DocSecurity>0</DocSecurity>
  <Lines>36</Lines>
  <Paragraphs>10</Paragraphs>
  <ScaleCrop>false</ScaleCrop>
  <Company>DG Win&amp;Soft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2012-11-26T12:43:00Z</dcterms:created>
  <dcterms:modified xsi:type="dcterms:W3CDTF">2012-11-26T12:46:00Z</dcterms:modified>
</cp:coreProperties>
</file>